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RIFLESSIONE LINGUISTICA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Verbo essere_ presente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Verbo essere_ c’è /ci sono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verbo avere_ presente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Verbo alla forma positiva e negativa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Verbi_ presente dei verbi regolari di uso frequente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Verbi_ presente indicativo dei verbi della prima coniugazione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Verbi_ presente indicativo dei verbi della seconda coniugazione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Verbi_ presente indicativo dei verbi della terza coniugazione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Imperativo_ uso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Verbi irregolari: fare, andare, venire, uscire…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Verbi_ i verbi modali volere, dovere, potere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Verbi_ il passatp prossimo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Verbi_ il futuro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Pronomi personali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Sostantivi_ numero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Sostantivi_ genere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Articolo determinativo_ uso e concordanza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Articolo indeterminativo uso e concordanza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Aggettivi possessivi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Aggettivi qualificativi_ concordanza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Aggettivi dimostrativi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Locativi e preposizioni collegate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Avverbi: di luogo, di frequenza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R+i6H4ga2MgRkUvBYZ6tHkwMwg==">CgMxLjA4AHIhMWJ6ZTBodlFvS2ZjZUcxcTBJOUxZT1RBVUxKMm5ZSTVK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