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EB6A9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ALL. </w:t>
      </w:r>
      <w:proofErr w:type="gramStart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1 :</w:t>
      </w:r>
      <w:proofErr w:type="gramEnd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 STILI COGNITIVI E DI APPRENDIMENTO</w:t>
      </w:r>
    </w:p>
    <w:p w14:paraId="2B624265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Tabella riassuntiva delle caratteristiche dei diversi stili cognitivi (</w:t>
      </w:r>
      <w:proofErr w:type="spellStart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Cornoldi</w:t>
      </w:r>
      <w:proofErr w:type="spellEnd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 et </w:t>
      </w:r>
      <w:proofErr w:type="gramStart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al.,</w:t>
      </w:r>
      <w:proofErr w:type="gramEnd"/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 2001).</w:t>
      </w: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A12212" w:rsidRPr="007A5673" w14:paraId="2F387916" w14:textId="77777777">
        <w:tc>
          <w:tcPr>
            <w:tcW w:w="3209" w:type="dxa"/>
          </w:tcPr>
          <w:p w14:paraId="7399DDBA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Percezione </w:t>
            </w:r>
          </w:p>
        </w:tc>
        <w:tc>
          <w:tcPr>
            <w:tcW w:w="3209" w:type="dxa"/>
          </w:tcPr>
          <w:p w14:paraId="70DC1BE2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Analitico: privilegia una percezione del dettaglio “vede l’insieme di alberi” </w:t>
            </w:r>
          </w:p>
        </w:tc>
        <w:tc>
          <w:tcPr>
            <w:tcW w:w="3210" w:type="dxa"/>
          </w:tcPr>
          <w:p w14:paraId="47269BEC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Globale: privilegia la percezione dell’intero “vede prima la foresta” </w:t>
            </w:r>
          </w:p>
        </w:tc>
      </w:tr>
      <w:tr w:rsidR="00A12212" w:rsidRPr="007A5673" w14:paraId="2667E34B" w14:textId="77777777">
        <w:tc>
          <w:tcPr>
            <w:tcW w:w="3209" w:type="dxa"/>
          </w:tcPr>
          <w:p w14:paraId="248A1E5B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Memoria </w:t>
            </w:r>
          </w:p>
        </w:tc>
        <w:tc>
          <w:tcPr>
            <w:tcW w:w="3209" w:type="dxa"/>
          </w:tcPr>
          <w:p w14:paraId="61BB48F8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Visuale: preferisce il codice </w:t>
            </w:r>
            <w:proofErr w:type="spell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visuo</w:t>
            </w:r>
            <w:proofErr w:type="spell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spaziale ed iconico </w:t>
            </w:r>
          </w:p>
        </w:tc>
        <w:tc>
          <w:tcPr>
            <w:tcW w:w="3210" w:type="dxa"/>
          </w:tcPr>
          <w:p w14:paraId="68EB4FF9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Verbale: preferisce il codice linguistico e sonoro</w:t>
            </w:r>
          </w:p>
        </w:tc>
      </w:tr>
      <w:tr w:rsidR="00A12212" w:rsidRPr="007A5673" w14:paraId="46EFBB23" w14:textId="77777777">
        <w:tc>
          <w:tcPr>
            <w:tcW w:w="3209" w:type="dxa"/>
          </w:tcPr>
          <w:p w14:paraId="7A8773EF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Ragionamento</w:t>
            </w:r>
          </w:p>
        </w:tc>
        <w:tc>
          <w:tcPr>
            <w:tcW w:w="3209" w:type="dxa"/>
          </w:tcPr>
          <w:p w14:paraId="397780CD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Sistematico: si caratterizza per una procedura a piccoli passi, dove vengono analizzati e presi in considerazione tutti i possibili dettagli </w:t>
            </w:r>
          </w:p>
        </w:tc>
        <w:tc>
          <w:tcPr>
            <w:tcW w:w="3210" w:type="dxa"/>
          </w:tcPr>
          <w:p w14:paraId="3894FE62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Intuitivo: si esprime in prevalenza su ipotesi globali che poi cerca di confermare o confutare</w:t>
            </w:r>
          </w:p>
        </w:tc>
      </w:tr>
      <w:tr w:rsidR="00A12212" w:rsidRPr="007A5673" w14:paraId="40F4E3B2" w14:textId="77777777">
        <w:tc>
          <w:tcPr>
            <w:tcW w:w="3209" w:type="dxa"/>
          </w:tcPr>
          <w:p w14:paraId="75EAF6C4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Ragionamento</w:t>
            </w:r>
          </w:p>
        </w:tc>
        <w:tc>
          <w:tcPr>
            <w:tcW w:w="3209" w:type="dxa"/>
          </w:tcPr>
          <w:p w14:paraId="5209C13A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Impulsivo: tempi decisionali brevi per i processi di valutazione e risoluzione di un compito cognitivo </w:t>
            </w:r>
          </w:p>
        </w:tc>
        <w:tc>
          <w:tcPr>
            <w:tcW w:w="3210" w:type="dxa"/>
          </w:tcPr>
          <w:p w14:paraId="5B46AA02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Riflessivo: tempi decisionali più lunghi per i processi di valutazione e risoluzione di un compito cognitivo</w:t>
            </w:r>
          </w:p>
        </w:tc>
      </w:tr>
    </w:tbl>
    <w:p w14:paraId="0DCFFCC2" w14:textId="77777777" w:rsidR="00A12212" w:rsidRPr="007A5673" w:rsidRDefault="00A12212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F2050D3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Cosa sono gli stili di apprendimento? </w:t>
      </w:r>
    </w:p>
    <w:p w14:paraId="15C9B141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Per stile di apprendimento s’intende </w:t>
      </w:r>
      <w:proofErr w:type="gramStart"/>
      <w:r w:rsidRPr="007A5673">
        <w:rPr>
          <w:rFonts w:asciiTheme="minorHAnsi" w:eastAsia="Times New Roman" w:hAnsiTheme="minorHAnsi" w:cs="Times New Roman"/>
          <w:sz w:val="20"/>
          <w:szCs w:val="20"/>
        </w:rPr>
        <w:t>“ l’approccio</w:t>
      </w:r>
      <w:proofErr w:type="gram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all’apprendimento preferito di una persona, il suo modo tipico e stabile di percepire, elaborare, immagazzinare e recuperare le informazioni” (Mariani, 2000) </w:t>
      </w:r>
    </w:p>
    <w:p w14:paraId="75A1D52A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Gli stili spaziano dalle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preferenze ambientali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(come i "luoghi" e i "tempi" dell'apprendimento, la luce, la temperatura, i suoni, i consumi alimentari ...) </w:t>
      </w:r>
    </w:p>
    <w:p w14:paraId="5C7BA232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proofErr w:type="gramStart"/>
      <w:r w:rsidRPr="007A5673">
        <w:rPr>
          <w:rFonts w:asciiTheme="minorHAnsi" w:eastAsia="Times New Roman" w:hAnsiTheme="minorHAnsi" w:cs="Times New Roman"/>
          <w:sz w:val="20"/>
          <w:szCs w:val="20"/>
        </w:rPr>
        <w:t>alle</w:t>
      </w:r>
      <w:proofErr w:type="gram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modalità sensoriali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(spesso sintetizzate in visiva, uditiva, cinestetica), </w:t>
      </w:r>
    </w:p>
    <w:p w14:paraId="0E0A2E69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proofErr w:type="gramStart"/>
      <w:r w:rsidRPr="007A5673">
        <w:rPr>
          <w:rFonts w:asciiTheme="minorHAnsi" w:eastAsia="Times New Roman" w:hAnsiTheme="minorHAnsi" w:cs="Times New Roman"/>
          <w:sz w:val="20"/>
          <w:szCs w:val="20"/>
        </w:rPr>
        <w:t>agli</w:t>
      </w:r>
      <w:proofErr w:type="gram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stili cognitivi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(come le opposizioni analitico / globale, sistematico / intuitivo, riflessivo / impulsivo) </w:t>
      </w:r>
    </w:p>
    <w:p w14:paraId="37A3283E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proofErr w:type="gramStart"/>
      <w:r w:rsidRPr="007A5673">
        <w:rPr>
          <w:rFonts w:asciiTheme="minorHAnsi" w:eastAsia="Times New Roman" w:hAnsiTheme="minorHAnsi" w:cs="Times New Roman"/>
          <w:sz w:val="20"/>
          <w:szCs w:val="20"/>
        </w:rPr>
        <w:t>che</w:t>
      </w:r>
      <w:proofErr w:type="gram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sfumano nei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tratti socio-affettivi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(come l'introversione e l'estroversione).</w:t>
      </w:r>
    </w:p>
    <w:p w14:paraId="094BB1E9" w14:textId="77777777" w:rsidR="00A12212" w:rsidRPr="007A5673" w:rsidRDefault="00A12212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37F4F3E3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 xml:space="preserve">Canali sensoriali tramite cui passa l’apprendimento </w:t>
      </w:r>
    </w:p>
    <w:p w14:paraId="4B3D26CD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Gli individui apprendono in maniera diversa uno dall’altro secondo le modalità e le strategie con cui ciascuno elabora le informazioni, a partire dai canali sensoriali che ci permettono di percepire gli stimoli che provengono dall’esterno. Su questa base, si possono distinguere quattro principali gruppi: </w:t>
      </w:r>
    </w:p>
    <w:p w14:paraId="0406706D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Il primo gruppo è rappresentato dal canale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Visivo verbale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, ovvero il canale finora maggiormente utilizzato nel contesto scolastico: quello che passa di preferenza per la letto-scrittura. Praticamente, s’impara leggendo. </w:t>
      </w:r>
    </w:p>
    <w:p w14:paraId="0613B2EF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Il secondo gruppo è rappresentato dal canale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Visivo iconografico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, ovvero la preferenza per immagini, disegni, fotografie, simboli, mappe concettuali, grafici e diagrammi. Praticamente, tutto ciò che riguarda il </w:t>
      </w:r>
      <w:proofErr w:type="spellStart"/>
      <w:r w:rsidRPr="007A5673">
        <w:rPr>
          <w:rFonts w:asciiTheme="minorHAnsi" w:eastAsia="Times New Roman" w:hAnsiTheme="minorHAnsi" w:cs="Times New Roman"/>
          <w:sz w:val="20"/>
          <w:szCs w:val="20"/>
        </w:rPr>
        <w:t>visual</w:t>
      </w:r>
      <w:proofErr w:type="spell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 </w:t>
      </w:r>
      <w:proofErr w:type="spellStart"/>
      <w:r w:rsidRPr="007A5673">
        <w:rPr>
          <w:rFonts w:asciiTheme="minorHAnsi" w:eastAsia="Times New Roman" w:hAnsiTheme="minorHAnsi" w:cs="Times New Roman"/>
          <w:sz w:val="20"/>
          <w:szCs w:val="20"/>
        </w:rPr>
        <w:t>learning</w:t>
      </w:r>
      <w:proofErr w:type="spellEnd"/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. </w:t>
      </w:r>
    </w:p>
    <w:p w14:paraId="3CC42A2E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Il terzo gruppo è rappresentato dal canale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Uditivo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, ovvero la preferenza per l’ascolto. Praticamente, s’impara maggiormente assistendo ad una lezione, partecipando a discussioni e attraverso il lavoro con un compagno o a gruppi. </w:t>
      </w:r>
    </w:p>
    <w:p w14:paraId="4C92F8C2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sz w:val="20"/>
          <w:szCs w:val="20"/>
        </w:rPr>
        <w:t xml:space="preserve">Il quarto gruppo è rappresentato dal canale </w:t>
      </w:r>
      <w:r w:rsidRPr="007A5673">
        <w:rPr>
          <w:rFonts w:asciiTheme="minorHAnsi" w:eastAsia="Times New Roman" w:hAnsiTheme="minorHAnsi" w:cs="Times New Roman"/>
          <w:b/>
          <w:sz w:val="20"/>
          <w:szCs w:val="20"/>
        </w:rPr>
        <w:t>Cinestetico</w:t>
      </w:r>
      <w:r w:rsidRPr="007A5673">
        <w:rPr>
          <w:rFonts w:asciiTheme="minorHAnsi" w:eastAsia="Times New Roman" w:hAnsiTheme="minorHAnsi" w:cs="Times New Roman"/>
          <w:sz w:val="20"/>
          <w:szCs w:val="20"/>
        </w:rPr>
        <w:t>, ovvero la preferenza per attività concrete. Praticamente, s’impara facendo.</w:t>
      </w:r>
    </w:p>
    <w:p w14:paraId="3D5E0058" w14:textId="77777777" w:rsidR="00A12212" w:rsidRPr="007A5673" w:rsidRDefault="00A12212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5A400FF3" w14:textId="77777777" w:rsidR="00A12212" w:rsidRPr="007A5673" w:rsidRDefault="00A12212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66B0D144" w14:textId="77777777" w:rsidR="007A5673" w:rsidRDefault="007A5673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  <w:r>
        <w:rPr>
          <w:rFonts w:asciiTheme="minorHAnsi" w:eastAsia="Times New Roman" w:hAnsiTheme="minorHAnsi" w:cs="Times New Roman"/>
          <w:sz w:val="20"/>
          <w:szCs w:val="20"/>
        </w:rPr>
        <w:br w:type="page"/>
      </w:r>
    </w:p>
    <w:p w14:paraId="2858FE70" w14:textId="77777777" w:rsidR="00A12212" w:rsidRPr="007A5673" w:rsidRDefault="00A12212" w:rsidP="00FE6803">
      <w:pPr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925D544" w14:textId="77777777" w:rsidR="00A12212" w:rsidRPr="007A5673" w:rsidRDefault="00D44E64" w:rsidP="00FE6803">
      <w:pPr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ALL.2: STRATEGIE DI INSEGNAMENTO</w:t>
      </w:r>
    </w:p>
    <w:p w14:paraId="3B7395F4" w14:textId="77777777" w:rsidR="00A12212" w:rsidRPr="007A5673" w:rsidRDefault="00D44E64" w:rsidP="00FE6803">
      <w:pPr>
        <w:widowControl w:val="0"/>
        <w:spacing w:after="0" w:line="276" w:lineRule="auto"/>
        <w:jc w:val="both"/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</w:pPr>
      <w:r w:rsidRPr="007A5673">
        <w:rPr>
          <w:rFonts w:asciiTheme="minorHAnsi" w:eastAsia="Times New Roman" w:hAnsiTheme="minorHAnsi" w:cs="Times New Roman"/>
          <w:b/>
          <w:color w:val="2E74B5" w:themeColor="accent1" w:themeShade="BF"/>
          <w:sz w:val="20"/>
          <w:szCs w:val="20"/>
        </w:rPr>
        <w:t>Stili di insegnamento</w:t>
      </w:r>
    </w:p>
    <w:p w14:paraId="5C4C7C0B" w14:textId="77777777" w:rsidR="00A12212" w:rsidRPr="007A5673" w:rsidRDefault="00A12212" w:rsidP="00FE6803">
      <w:pPr>
        <w:widowControl w:val="0"/>
        <w:spacing w:after="0"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tbl>
      <w:tblPr>
        <w:tblStyle w:val="a0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7800"/>
      </w:tblGrid>
      <w:tr w:rsidR="00A12212" w:rsidRPr="007A5673" w14:paraId="039C8350" w14:textId="77777777">
        <w:tc>
          <w:tcPr>
            <w:tcW w:w="1830" w:type="dxa"/>
          </w:tcPr>
          <w:p w14:paraId="7D3F99FE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Stili di insegnamento</w:t>
            </w:r>
          </w:p>
        </w:tc>
        <w:tc>
          <w:tcPr>
            <w:tcW w:w="7800" w:type="dxa"/>
          </w:tcPr>
          <w:p w14:paraId="0C03A9FA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Esempi di strategie dell’insegnamento</w:t>
            </w:r>
          </w:p>
        </w:tc>
      </w:tr>
      <w:tr w:rsidR="00A12212" w:rsidRPr="007A5673" w14:paraId="1BC644B5" w14:textId="77777777">
        <w:tc>
          <w:tcPr>
            <w:tcW w:w="1830" w:type="dxa"/>
          </w:tcPr>
          <w:p w14:paraId="26663CFA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VERBALE</w:t>
            </w:r>
          </w:p>
        </w:tc>
        <w:tc>
          <w:tcPr>
            <w:tcW w:w="7800" w:type="dxa"/>
          </w:tcPr>
          <w:p w14:paraId="3B3DFD0A" w14:textId="77777777" w:rsidR="00A12212" w:rsidRPr="007A5673" w:rsidRDefault="00D44E64" w:rsidP="00FE6803">
            <w:pPr>
              <w:numPr>
                <w:ilvl w:val="0"/>
                <w:numId w:val="3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nelle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spiegazioni usa le parole in modo preponderante fa riferimenti al testo</w:t>
            </w:r>
          </w:p>
          <w:p w14:paraId="542147A4" w14:textId="77777777" w:rsidR="00A12212" w:rsidRPr="007A5673" w:rsidRDefault="00D44E64" w:rsidP="00FE6803">
            <w:pPr>
              <w:numPr>
                <w:ilvl w:val="0"/>
                <w:numId w:val="3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riferimenti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al testo scritto per ricordare</w:t>
            </w:r>
          </w:p>
        </w:tc>
      </w:tr>
      <w:tr w:rsidR="00A12212" w:rsidRPr="007A5673" w14:paraId="17C56392" w14:textId="77777777">
        <w:tc>
          <w:tcPr>
            <w:tcW w:w="1830" w:type="dxa"/>
          </w:tcPr>
          <w:p w14:paraId="20469D56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VISUALE</w:t>
            </w:r>
          </w:p>
        </w:tc>
        <w:tc>
          <w:tcPr>
            <w:tcW w:w="7800" w:type="dxa"/>
          </w:tcPr>
          <w:p w14:paraId="500EADF4" w14:textId="77777777" w:rsidR="00A12212" w:rsidRPr="007A5673" w:rsidRDefault="00D44E64" w:rsidP="00FE6803">
            <w:pPr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nella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spiegazione usa immagini, mappe concettuali, schemi, lavagna, cartelloni e fa riferimento a tutti gli aspetti iconici nel testo</w:t>
            </w:r>
          </w:p>
          <w:p w14:paraId="5E344EF1" w14:textId="77777777" w:rsidR="00A12212" w:rsidRPr="007A5673" w:rsidRDefault="00D44E64" w:rsidP="00FE6803">
            <w:pPr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fa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riferimento alla pagina come fosse una fotografia e alle immagini per ricordare</w:t>
            </w:r>
          </w:p>
        </w:tc>
      </w:tr>
      <w:tr w:rsidR="00A12212" w:rsidRPr="007A5673" w14:paraId="3B269A93" w14:textId="77777777">
        <w:tc>
          <w:tcPr>
            <w:tcW w:w="1830" w:type="dxa"/>
          </w:tcPr>
          <w:p w14:paraId="0A89A0B9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GLOBALE</w:t>
            </w:r>
          </w:p>
        </w:tc>
        <w:tc>
          <w:tcPr>
            <w:tcW w:w="7800" w:type="dxa"/>
          </w:tcPr>
          <w:p w14:paraId="5CE79406" w14:textId="77777777" w:rsidR="00A12212" w:rsidRPr="007A5673" w:rsidRDefault="00D44E64" w:rsidP="00FE6803">
            <w:pPr>
              <w:numPr>
                <w:ilvl w:val="0"/>
                <w:numId w:val="2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nelle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spiegazioni si focalizza su un’idea generale dell’argomento, definisce la macrostruttura e le </w:t>
            </w:r>
            <w:proofErr w:type="spell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macrorelazioni</w:t>
            </w:r>
            <w:proofErr w:type="spellEnd"/>
          </w:p>
        </w:tc>
      </w:tr>
      <w:tr w:rsidR="00A12212" w:rsidRPr="007A5673" w14:paraId="01EB04BC" w14:textId="77777777">
        <w:tc>
          <w:tcPr>
            <w:tcW w:w="1830" w:type="dxa"/>
          </w:tcPr>
          <w:p w14:paraId="5304BE8F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ANALITICO</w:t>
            </w:r>
          </w:p>
        </w:tc>
        <w:tc>
          <w:tcPr>
            <w:tcW w:w="7800" w:type="dxa"/>
          </w:tcPr>
          <w:p w14:paraId="780F66E3" w14:textId="77777777" w:rsidR="00A12212" w:rsidRPr="007A5673" w:rsidRDefault="00D44E64" w:rsidP="00FE6803">
            <w:pPr>
              <w:numPr>
                <w:ilvl w:val="0"/>
                <w:numId w:val="2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nelle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spiegazioni parte dai dettagli e per  ogni singolo aspetto declina un elemento per volta</w:t>
            </w:r>
          </w:p>
        </w:tc>
      </w:tr>
      <w:tr w:rsidR="00A12212" w:rsidRPr="007A5673" w14:paraId="761F6C1E" w14:textId="77777777">
        <w:tc>
          <w:tcPr>
            <w:tcW w:w="1830" w:type="dxa"/>
          </w:tcPr>
          <w:p w14:paraId="302153EC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SISTEMATICO</w:t>
            </w:r>
          </w:p>
        </w:tc>
        <w:tc>
          <w:tcPr>
            <w:tcW w:w="7800" w:type="dxa"/>
          </w:tcPr>
          <w:p w14:paraId="099D6459" w14:textId="77777777" w:rsidR="00A12212" w:rsidRPr="007A5673" w:rsidRDefault="00D44E64" w:rsidP="00FE6803">
            <w:pPr>
              <w:numPr>
                <w:ilvl w:val="0"/>
                <w:numId w:val="2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nella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spiegazione segue in maniera dettagliata la scaletta degli argomenti elencandoli con cura</w:t>
            </w:r>
          </w:p>
        </w:tc>
      </w:tr>
      <w:tr w:rsidR="00A12212" w:rsidRPr="007A5673" w14:paraId="21A37F3F" w14:textId="77777777">
        <w:tc>
          <w:tcPr>
            <w:tcW w:w="1830" w:type="dxa"/>
          </w:tcPr>
          <w:p w14:paraId="2E83A72C" w14:textId="77777777" w:rsidR="00A12212" w:rsidRPr="007A5673" w:rsidRDefault="00D44E64" w:rsidP="00FE6803">
            <w:p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INTUITIVO</w:t>
            </w:r>
          </w:p>
        </w:tc>
        <w:tc>
          <w:tcPr>
            <w:tcW w:w="7800" w:type="dxa"/>
          </w:tcPr>
          <w:p w14:paraId="0BB10899" w14:textId="77777777" w:rsidR="00A12212" w:rsidRPr="007A5673" w:rsidRDefault="00D44E64" w:rsidP="00FE6803">
            <w:pPr>
              <w:numPr>
                <w:ilvl w:val="0"/>
                <w:numId w:val="2"/>
              </w:numPr>
              <w:jc w:val="both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proofErr w:type="gramStart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>nella</w:t>
            </w:r>
            <w:proofErr w:type="gramEnd"/>
            <w:r w:rsidRPr="007A5673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spiegazione segue a linee generali la scaletta degli argomenti, che però modifica sulla base dei rimandi degli alunni</w:t>
            </w:r>
          </w:p>
        </w:tc>
      </w:tr>
    </w:tbl>
    <w:p w14:paraId="104F6E44" w14:textId="4E42E73F" w:rsidR="00A12212" w:rsidRPr="007A5673" w:rsidRDefault="00A12212" w:rsidP="00FE6803">
      <w:pPr>
        <w:rPr>
          <w:rFonts w:asciiTheme="minorHAnsi" w:eastAsia="Times New Roman" w:hAnsiTheme="minorHAnsi" w:cs="Times New Roman"/>
          <w:sz w:val="20"/>
          <w:szCs w:val="20"/>
        </w:rPr>
      </w:pPr>
      <w:bookmarkStart w:id="1" w:name="_GoBack"/>
      <w:bookmarkEnd w:id="1"/>
    </w:p>
    <w:sectPr w:rsidR="00A12212" w:rsidRPr="007A56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836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9021B" w14:textId="77777777" w:rsidR="007A5673" w:rsidRDefault="007A5673" w:rsidP="007A5673">
      <w:pPr>
        <w:spacing w:after="0" w:line="240" w:lineRule="auto"/>
      </w:pPr>
      <w:r>
        <w:separator/>
      </w:r>
    </w:p>
  </w:endnote>
  <w:endnote w:type="continuationSeparator" w:id="0">
    <w:p w14:paraId="014334AA" w14:textId="77777777" w:rsidR="007A5673" w:rsidRDefault="007A5673" w:rsidP="007A5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57C76" w14:textId="77777777" w:rsidR="00801940" w:rsidRDefault="008019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87C5A" w14:textId="77777777" w:rsidR="00801940" w:rsidRDefault="0080194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7E1BB" w14:textId="77777777" w:rsidR="00801940" w:rsidRDefault="008019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799A0" w14:textId="77777777" w:rsidR="007A5673" w:rsidRDefault="007A5673" w:rsidP="007A5673">
      <w:pPr>
        <w:spacing w:after="0" w:line="240" w:lineRule="auto"/>
      </w:pPr>
      <w:r>
        <w:separator/>
      </w:r>
    </w:p>
  </w:footnote>
  <w:footnote w:type="continuationSeparator" w:id="0">
    <w:p w14:paraId="79B82F73" w14:textId="77777777" w:rsidR="007A5673" w:rsidRDefault="007A5673" w:rsidP="007A5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AE787" w14:textId="77777777" w:rsidR="00801940" w:rsidRDefault="008019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482B" w14:textId="0F37D11D" w:rsidR="007A5673" w:rsidRPr="007A5673" w:rsidRDefault="007A5673" w:rsidP="007A5673">
    <w:pPr>
      <w:pStyle w:val="Intestazione"/>
      <w:jc w:val="center"/>
      <w:rPr>
        <w:b/>
      </w:rPr>
    </w:pPr>
    <w:r w:rsidRPr="007A5673">
      <w:rPr>
        <w:b/>
      </w:rPr>
      <w:t>ALLEGATI ALLA SCHEDA DI ANALISI DEL BISOGNO E DEL CONTESTO – SCUOLA PRIMARIA</w:t>
    </w:r>
    <w:r w:rsidR="00801940">
      <w:rPr>
        <w:b/>
      </w:rPr>
      <w:t xml:space="preserve"> E SECONDARIA DI PRIMO GRADO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3E1B" w14:textId="77777777" w:rsidR="00801940" w:rsidRDefault="0080194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002"/>
    <w:multiLevelType w:val="multilevel"/>
    <w:tmpl w:val="B46C41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3E227A"/>
    <w:multiLevelType w:val="multilevel"/>
    <w:tmpl w:val="D7F08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E813F4F"/>
    <w:multiLevelType w:val="multilevel"/>
    <w:tmpl w:val="FEE8D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12"/>
    <w:rsid w:val="004B7168"/>
    <w:rsid w:val="007A5673"/>
    <w:rsid w:val="00801940"/>
    <w:rsid w:val="008C0249"/>
    <w:rsid w:val="00A12212"/>
    <w:rsid w:val="00AF7857"/>
    <w:rsid w:val="00D44E64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E88EC"/>
  <w15:docId w15:val="{37FF6347-45BA-4997-9935-002F1195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B80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A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5673"/>
  </w:style>
  <w:style w:type="paragraph" w:styleId="Pidipagina">
    <w:name w:val="footer"/>
    <w:basedOn w:val="Normale"/>
    <w:link w:val="PidipaginaCarattere"/>
    <w:uiPriority w:val="99"/>
    <w:unhideWhenUsed/>
    <w:rsid w:val="007A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5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oMmVuZI8HlBv3VH/UZcniiVHfQ==">AMUW2mUAfvbQTXtuE/6zvfZiO/tQFGcGC8kDx3Ku6cjCbLOkgOs6jOsE8lqJkELLiRwP/UUJ+DrytrUzLOFLP658jb1RvrysfLbsN5MPv/cvjkvFi4X9cvSCBkpq2gu3jh3zeHs9AIkP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mazzoleni</dc:creator>
  <cp:lastModifiedBy>barbara mazzoleni</cp:lastModifiedBy>
  <cp:revision>3</cp:revision>
  <dcterms:created xsi:type="dcterms:W3CDTF">2022-08-22T09:56:00Z</dcterms:created>
  <dcterms:modified xsi:type="dcterms:W3CDTF">2022-09-24T16:18:00Z</dcterms:modified>
</cp:coreProperties>
</file>