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54" w:rsidRPr="00781354" w:rsidRDefault="00781354" w:rsidP="00781354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2A2A2A"/>
          <w:kern w:val="36"/>
          <w:sz w:val="48"/>
          <w:szCs w:val="48"/>
          <w:lang w:eastAsia="it-IT"/>
        </w:rPr>
      </w:pPr>
      <w:r w:rsidRPr="00781354">
        <w:rPr>
          <w:rFonts w:ascii="Arial" w:eastAsia="Times New Roman" w:hAnsi="Arial" w:cs="Arial"/>
          <w:b/>
          <w:bCs/>
          <w:color w:val="2A2A2A"/>
          <w:kern w:val="36"/>
          <w:sz w:val="48"/>
          <w:szCs w:val="48"/>
          <w:lang w:eastAsia="it-IT"/>
        </w:rPr>
        <w:t>Risorse plurilingui per sviluppare e mantenere la lingua madre</w:t>
      </w:r>
    </w:p>
    <w:p w:rsidR="00781354" w:rsidRPr="00781354" w:rsidRDefault="00781354" w:rsidP="00781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Strumenti, letture e consigli per permettere ai bambini bilingui di continuare ad essere esposti alla lingua di origine</w:t>
      </w:r>
    </w:p>
    <w:p w:rsidR="00781354" w:rsidRDefault="00781354" w:rsidP="00781354">
      <w:pPr>
        <w:spacing w:after="0" w:line="240" w:lineRule="auto"/>
        <w:rPr>
          <w:rFonts w:ascii="Arial" w:eastAsia="Times New Roman" w:hAnsi="Arial" w:cs="Arial"/>
          <w:color w:val="2A2A2A"/>
          <w:sz w:val="27"/>
          <w:szCs w:val="27"/>
          <w:lang w:eastAsia="it-IT"/>
        </w:rPr>
      </w:pPr>
      <w:r w:rsidRPr="00781354">
        <w:rPr>
          <w:rFonts w:ascii="Arial" w:eastAsia="Times New Roman" w:hAnsi="Arial" w:cs="Arial"/>
          <w:color w:val="2A2A2A"/>
          <w:sz w:val="27"/>
          <w:szCs w:val="27"/>
          <w:lang w:eastAsia="it-IT"/>
        </w:rPr>
        <w:t>di </w:t>
      </w:r>
      <w:hyperlink r:id="rId6" w:history="1">
        <w:r w:rsidRPr="00781354">
          <w:rPr>
            <w:rFonts w:ascii="Arial" w:eastAsia="Times New Roman" w:hAnsi="Arial" w:cs="Arial"/>
            <w:b/>
            <w:bCs/>
            <w:color w:val="0000FF"/>
            <w:sz w:val="27"/>
            <w:szCs w:val="27"/>
            <w:lang w:eastAsia="it-IT"/>
          </w:rPr>
          <w:t>Valentina Carbonara</w:t>
        </w:r>
      </w:hyperlink>
      <w:r w:rsidRPr="00781354">
        <w:rPr>
          <w:rFonts w:ascii="Arial" w:eastAsia="Times New Roman" w:hAnsi="Arial" w:cs="Arial"/>
          <w:color w:val="2A2A2A"/>
          <w:sz w:val="27"/>
          <w:szCs w:val="27"/>
          <w:lang w:eastAsia="it-IT"/>
        </w:rPr>
        <w:t> · 01 febbraio 2021</w:t>
      </w:r>
    </w:p>
    <w:p w:rsidR="00781354" w:rsidRPr="00781354" w:rsidRDefault="00781354" w:rsidP="00781354">
      <w:pPr>
        <w:spacing w:after="0" w:line="240" w:lineRule="auto"/>
        <w:rPr>
          <w:rFonts w:ascii="Arial" w:eastAsia="Times New Roman" w:hAnsi="Arial" w:cs="Arial"/>
          <w:color w:val="2A2A2A"/>
          <w:sz w:val="27"/>
          <w:szCs w:val="27"/>
          <w:lang w:eastAsia="it-IT"/>
        </w:rPr>
      </w:pPr>
      <w:r>
        <w:rPr>
          <w:rFonts w:ascii="Arial" w:eastAsia="Times New Roman" w:hAnsi="Arial" w:cs="Arial"/>
          <w:color w:val="2A2A2A"/>
          <w:sz w:val="27"/>
          <w:szCs w:val="27"/>
          <w:lang w:eastAsia="it-IT"/>
        </w:rPr>
        <w:t>dalla rivista Sesamo ed. Giunti</w:t>
      </w:r>
    </w:p>
    <w:p w:rsidR="00781354" w:rsidRPr="00781354" w:rsidRDefault="00781354" w:rsidP="00781354">
      <w:pPr>
        <w:spacing w:after="0" w:line="240" w:lineRule="auto"/>
        <w:rPr>
          <w:rFonts w:ascii="Arial" w:eastAsia="Times New Roman" w:hAnsi="Arial" w:cs="Arial"/>
          <w:color w:val="2A2A2A"/>
          <w:sz w:val="27"/>
          <w:szCs w:val="27"/>
          <w:lang w:eastAsia="it-IT"/>
        </w:rPr>
      </w:pPr>
      <w:r>
        <w:rPr>
          <w:rFonts w:ascii="Arial" w:eastAsia="Times New Roman" w:hAnsi="Arial" w:cs="Arial"/>
          <w:noProof/>
          <w:color w:val="2A2A2A"/>
          <w:sz w:val="27"/>
          <w:szCs w:val="27"/>
          <w:lang w:eastAsia="it-IT"/>
        </w:rPr>
        <w:drawing>
          <wp:inline distT="0" distB="0" distL="0" distR="0">
            <wp:extent cx="5669280" cy="3779520"/>
            <wp:effectExtent l="0" t="0" r="7620" b="0"/>
            <wp:docPr id="2" name="Immagine 2" descr="Risorse plurilingui per sviluppare e mantenere la lingua mad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orse plurilingui per sviluppare e mantenere la lingua mad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Lo sviluppo della </w:t>
      </w:r>
      <w:proofErr w:type="spellStart"/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>biliteracy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o alfabetizzazione bilingue, è fondamentale per salvaguardare i vantaggi cognitivi e linguistici del bilinguismo. Per questo è importante permettere ai bambini bilingui emergenti di continuare ad essere esposti alla lingua di origine in modo significativo, tramite narrazioni orali o scritte specifiche per la loro età e per il loro livello di sviluppo linguistico.</w:t>
      </w:r>
    </w:p>
    <w:p w:rsid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Reperire materiali di questo genere non è sempre semplice, ma se le famiglie non dispongono di risorse provenienti dal paese di origine, è </w:t>
      </w:r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 xml:space="preserve">compito dei docenti e delle figure strumentali per </w:t>
      </w:r>
      <w:proofErr w:type="spellStart"/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>l’intercultura</w:t>
      </w:r>
      <w:proofErr w:type="spellEnd"/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 xml:space="preserve"> agevolare i genitori nella ricerca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creando delle raccolte condivise con letture e strumenti che possono essere utilizzati sia a casa che a scuola.</w:t>
      </w:r>
    </w:p>
    <w:p w:rsidR="00B32D65" w:rsidRDefault="00B32D65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</w:p>
    <w:p w:rsidR="00B32D65" w:rsidRPr="00781354" w:rsidRDefault="00B32D65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lastRenderedPageBreak/>
        <w:t>Portali con storie da tutto il mondo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>Un sito molto utile, per esempio, è </w:t>
      </w:r>
      <w:hyperlink r:id="rId8" w:tgtFrame="_blank" w:history="1"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>Story Books Canada</w:t>
        </w:r>
      </w:hyperlink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, dove è possibile reperire storie in diverse lingue parlate dagli studenti con background migratorio (arabo, bengalese, cinese,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punjabi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tagalog, urdu) con la possibilità di riascoltarle anche in italiano e in inglese. Le storie sono suddivise per livello, sono illustrate ed è presente sia la narrazione orale audio-registrata sia le didascalie per ogni sequenza.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>Un altro sito interessante è </w:t>
      </w:r>
      <w:hyperlink r:id="rId9" w:tgtFrame="_blank" w:history="1"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 xml:space="preserve">Story </w:t>
        </w:r>
        <w:proofErr w:type="spellStart"/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>Weaver</w:t>
        </w:r>
        <w:proofErr w:type="spellEnd"/>
      </w:hyperlink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: anche in questo caso sono presenti centinaia di storie tradotte in decine di lingue. Ogni storia è illustrata ed è presente il testo scritto, traducibile spesso anche in italiano. L’audio-lettura o i video abbinati sono solitamente disponibili prevalentemente in inglese, ma questo potrebbe essere un incentivo a lavorare sulla manipolazione dei contenuti già presenti e creare in classe delle versioni audio-lette nelle lingue degli studenti. Il sito, inoltre, permette la possibilità di proporre la traduzione di un testo, se assente, e questo potrebbe essere uno stimolo interessante per un progetto di classe.</w:t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>Iniziative plurilinguistiche 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>Oltre alle risorse online, da anni diversi editori italiani e stranieri propongono letture bilingui o plurilingui rivolte a studenti bilingui emergenti. Talvolta queste risorse sono reperibili presso le biblioteche cittadine o all’interno della stessa regione tramite i servizi di “scaffale circolante” (ad esempio </w:t>
      </w:r>
      <w:hyperlink r:id="rId10" w:tgtFrame="_blank" w:history="1"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>l’iniziativa della Biblioteca Lazzerini di Prato per la Toscana</w:t>
        </w:r>
      </w:hyperlink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), oppure si possono acquistare su siti di e-commerce online.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 xml:space="preserve">Per esempio, segnaliamo il progetto editoriale di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Philipp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Winterberg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“Io sono piccola”, testo adatto alla scuola dell’infanzia e tradotto in decine di combinazioni linguistiche bilingui. Il racconto, molto semplice, si basa su meccanismi di ripetizione e si presta a molte attività didattiche rivolte agli apprendenti più piccoli. 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noProof/>
          <w:color w:val="2A2A2A"/>
          <w:sz w:val="27"/>
          <w:szCs w:val="27"/>
          <w:lang w:eastAsia="it-IT"/>
        </w:rPr>
        <w:lastRenderedPageBreak/>
        <w:drawing>
          <wp:inline distT="0" distB="0" distL="0" distR="0">
            <wp:extent cx="3246120" cy="4236720"/>
            <wp:effectExtent l="0" t="0" r="0" b="0"/>
            <wp:docPr id="1" name="Immagine 1" descr="https://www.giuntiscuola.it/d/filer/sharing/1611923214/22927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iuntiscuola.it/d/filer/sharing/1611923214/229278/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423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</w:p>
    <w:p w:rsidR="00781354" w:rsidRPr="00781354" w:rsidRDefault="00781354" w:rsidP="0078135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color w:val="3D6C68"/>
          <w:sz w:val="27"/>
          <w:szCs w:val="27"/>
          <w:lang w:eastAsia="it-IT"/>
        </w:rPr>
      </w:pPr>
      <w:r w:rsidRPr="00781354">
        <w:rPr>
          <w:rFonts w:ascii="Arial" w:eastAsia="Times New Roman" w:hAnsi="Arial" w:cs="Arial"/>
          <w:b/>
          <w:bCs/>
          <w:caps/>
          <w:color w:val="3D6C68"/>
          <w:sz w:val="27"/>
          <w:szCs w:val="27"/>
          <w:lang w:eastAsia="it-IT"/>
        </w:rPr>
        <w:t>LIBRI BILINGUI IN ITALIA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Chèvre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M,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La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Roue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de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Tarek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francese e arabo (primaria)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Haas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C,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Il mio più bel sogno –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Visul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meu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cel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mai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frumos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 in italiano e rumeno (primaria)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Mircea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R, 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Din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Romania… a Roma. Una nuova vita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italiano e rumeno (secondaria)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Renz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U,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Dormi bene, piccolo lupo –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Gjumin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e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ëmbël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,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ujku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i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vogël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italiano e albanese (infanzia)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Sulce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M,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Orme sul mare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 in italiano e albanese (primaria e secondaria)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Enea S,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I mille fili della seta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 in cinese e italiano (primaria)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Zoccarato D,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 Gina e Pina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italiano, inglese, arabo, rumeno e cinese (primaria)</w:t>
      </w:r>
    </w:p>
    <w:p w:rsidR="00781354" w:rsidRPr="00781354" w:rsidRDefault="00781354" w:rsidP="00781354">
      <w:pPr>
        <w:numPr>
          <w:ilvl w:val="0"/>
          <w:numId w:val="1"/>
        </w:numPr>
        <w:spacing w:before="100" w:beforeAutospacing="1" w:after="10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Concludiamo questa rassegna con un libro molto interessante, edito dall’editore francese “Rue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du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Monde”: “Le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livre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qui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parlait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toutes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les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langues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” (Il libro che parlava tutte le lingue). Si tratta di una storia molto divertente, perché ogni pagina è scritta con una combinazione linguistica diversa: si parte con francese-inglese, poi troviamo francese-giapponese, francese-arabo, francese-russo, etc. Il libro è corredato da un cd, pertanto è possibile far ascoltare la storia ai bambini, abbinandola allo scorrimento del libro tramite, per esempio, un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power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point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predisposto dal docente, con una eventuale traduzione in italiano. Ovviamente non tutte le lingue presenti nel libro possono essere rappresentate in classe, ma l’audio-lettura e la scoperta dei diversi sistemi alfabetici stimolano la curiosità dei bambini e li spingono a fare ipotesi sulle lingue utilizzate. </w:t>
      </w:r>
    </w:p>
    <w:p w:rsidR="00F35834" w:rsidRDefault="00F35834">
      <w:bookmarkStart w:id="0" w:name="_GoBack"/>
      <w:bookmarkEnd w:id="0"/>
    </w:p>
    <w:sectPr w:rsidR="00F358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34F3"/>
    <w:multiLevelType w:val="multilevel"/>
    <w:tmpl w:val="14B4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54"/>
    <w:rsid w:val="00781354"/>
    <w:rsid w:val="00B32D65"/>
    <w:rsid w:val="00F3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813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7813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135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8135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articolo-pageabstract">
    <w:name w:val="articolo-page__abstrac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8135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81354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81354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81354"/>
    <w:rPr>
      <w:b/>
      <w:bCs/>
    </w:rPr>
  </w:style>
  <w:style w:type="character" w:customStyle="1" w:styleId="inforating">
    <w:name w:val="info__rating"/>
    <w:basedOn w:val="Carpredefinitoparagrafo"/>
    <w:rsid w:val="00781354"/>
  </w:style>
  <w:style w:type="character" w:customStyle="1" w:styleId="infocomments-count">
    <w:name w:val="info__comments-count"/>
    <w:basedOn w:val="Carpredefinitoparagrafo"/>
    <w:rsid w:val="00781354"/>
  </w:style>
  <w:style w:type="character" w:customStyle="1" w:styleId="reviewrating">
    <w:name w:val="review__rating"/>
    <w:basedOn w:val="Carpredefinitoparagrafo"/>
    <w:rsid w:val="00781354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813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reviewhelptext">
    <w:name w:val="review__helptex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813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foreadtime">
    <w:name w:val="info__readtime"/>
    <w:basedOn w:val="Carpredefinitoparagrafo"/>
    <w:rsid w:val="00781354"/>
  </w:style>
  <w:style w:type="paragraph" w:styleId="NormaleWeb">
    <w:name w:val="Normal (Web)"/>
    <w:basedOn w:val="Normale"/>
    <w:uiPriority w:val="99"/>
    <w:semiHidden/>
    <w:unhideWhenUsed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ibliography-boxtitle">
    <w:name w:val="bibliography-box__title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813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7813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135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8135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articolo-pageabstract">
    <w:name w:val="articolo-page__abstrac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8135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81354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81354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81354"/>
    <w:rPr>
      <w:b/>
      <w:bCs/>
    </w:rPr>
  </w:style>
  <w:style w:type="character" w:customStyle="1" w:styleId="inforating">
    <w:name w:val="info__rating"/>
    <w:basedOn w:val="Carpredefinitoparagrafo"/>
    <w:rsid w:val="00781354"/>
  </w:style>
  <w:style w:type="character" w:customStyle="1" w:styleId="infocomments-count">
    <w:name w:val="info__comments-count"/>
    <w:basedOn w:val="Carpredefinitoparagrafo"/>
    <w:rsid w:val="00781354"/>
  </w:style>
  <w:style w:type="character" w:customStyle="1" w:styleId="reviewrating">
    <w:name w:val="review__rating"/>
    <w:basedOn w:val="Carpredefinitoparagrafo"/>
    <w:rsid w:val="00781354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813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reviewhelptext">
    <w:name w:val="review__helptex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813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foreadtime">
    <w:name w:val="info__readtime"/>
    <w:basedOn w:val="Carpredefinitoparagrafo"/>
    <w:rsid w:val="00781354"/>
  </w:style>
  <w:style w:type="paragraph" w:styleId="NormaleWeb">
    <w:name w:val="Normal (Web)"/>
    <w:basedOn w:val="Normale"/>
    <w:uiPriority w:val="99"/>
    <w:semiHidden/>
    <w:unhideWhenUsed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ibliography-boxtitle">
    <w:name w:val="bibliography-box__title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9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6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835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2078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CFEDEA"/>
                        <w:left w:val="single" w:sz="18" w:space="0" w:color="CFEDEA"/>
                        <w:bottom w:val="single" w:sz="18" w:space="0" w:color="CFEDEA"/>
                        <w:right w:val="single" w:sz="18" w:space="0" w:color="CFEDEA"/>
                      </w:divBdr>
                      <w:divsChild>
                        <w:div w:id="59467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rybookscanada.c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untiscuola.it/autori/valentina-carbonara-182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bibliotecalazzerini.prato.it/progetti/?act=f&amp;fid=13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ryweaver.org.in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2021-02-05T17:07:00Z</dcterms:created>
  <dcterms:modified xsi:type="dcterms:W3CDTF">2021-02-05T17:50:00Z</dcterms:modified>
</cp:coreProperties>
</file>